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color w:val="222222"/>
        </w:rPr>
      </w:pPr>
      <w:bookmarkStart w:colFirst="0" w:colLast="0" w:name="_naogoh2dht6q" w:id="0"/>
      <w:bookmarkEnd w:id="0"/>
      <w:r w:rsidDel="00000000" w:rsidR="00000000" w:rsidRPr="00000000">
        <w:rPr>
          <w:color w:val="222222"/>
          <w:rtl w:val="0"/>
        </w:rPr>
        <w:t xml:space="preserve">ACADEMY OF ORTON-GILLINGHAM PRACTITIONERS AND EDUCATORS</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color w:val="222222"/>
        </w:rPr>
      </w:pPr>
      <w:bookmarkStart w:colFirst="0" w:colLast="0" w:name="_naogoh2dht6q" w:id="0"/>
      <w:bookmarkEnd w:id="0"/>
      <w:r w:rsidDel="00000000" w:rsidR="00000000" w:rsidRPr="00000000">
        <w:rPr>
          <w:color w:val="222222"/>
          <w:rtl w:val="0"/>
        </w:rPr>
        <w:t xml:space="preserve">ASSOCIATE READING LIST</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spacing w:line="360" w:lineRule="auto"/>
        <w:rPr>
          <w:color w:val="555555"/>
          <w:sz w:val="20"/>
          <w:szCs w:val="20"/>
        </w:rPr>
      </w:pPr>
      <w:r w:rsidDel="00000000" w:rsidR="00000000" w:rsidRPr="00000000">
        <w:rPr>
          <w:b w:val="1"/>
          <w:color w:val="555555"/>
          <w:sz w:val="20"/>
          <w:szCs w:val="20"/>
          <w:rtl w:val="0"/>
        </w:rPr>
        <w:t xml:space="preserve">Background:</w:t>
      </w:r>
      <w:r w:rsidDel="00000000" w:rsidR="00000000" w:rsidRPr="00000000">
        <w:rPr>
          <w:color w:val="555555"/>
          <w:sz w:val="20"/>
          <w:szCs w:val="20"/>
          <w:rtl w:val="0"/>
        </w:rPr>
        <w:t xml:space="preserve"> The Orton-Gillingham Approach was developed by Samuel T. Orton, June Lyday Orton, Anna Gillingham, Bessie Stillman, and Paula Rome. By reason of their various specialties, they provided strength in neurobiology, medical evaluation, and the psychology and pedagogy of education. All courses and practica considered essential for membership in the Academy derive directly from the work of these pioneers. Many students of Sam and June Orton, Anna Gillingham, Bessie Stillman, and Paula Rome generated their own excellent programs and instructional materials based on the foundations of their multi-disciplinary training. Those programs and materials, which the Academy recognizes as Orton-Gillingham based, may be used in addition to the primary works listed as required readings, but should not replace them.</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spacing w:line="360" w:lineRule="auto"/>
        <w:rPr>
          <w:color w:val="555555"/>
          <w:sz w:val="20"/>
          <w:szCs w:val="20"/>
        </w:rPr>
      </w:pPr>
      <w:r w:rsidDel="00000000" w:rsidR="00000000" w:rsidRPr="00000000">
        <w:rPr>
          <w:b w:val="1"/>
          <w:color w:val="555555"/>
          <w:sz w:val="20"/>
          <w:szCs w:val="20"/>
          <w:rtl w:val="0"/>
        </w:rPr>
        <w:t xml:space="preserve">Purpose:</w:t>
      </w:r>
      <w:r w:rsidDel="00000000" w:rsidR="00000000" w:rsidRPr="00000000">
        <w:rPr>
          <w:color w:val="555555"/>
          <w:sz w:val="20"/>
          <w:szCs w:val="20"/>
          <w:rtl w:val="0"/>
        </w:rPr>
        <w:t xml:space="preserve"> At the Associate level, the readings below are designed to add a broad background and knowledge base to communicate the essentials of effective literacy instruction, components of the Orton-Gillingham Approach, and the structure of our language.</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spacing w:line="360" w:lineRule="auto"/>
        <w:rPr>
          <w:b w:val="1"/>
          <w:color w:val="555555"/>
          <w:sz w:val="20"/>
          <w:szCs w:val="20"/>
        </w:rPr>
      </w:pPr>
      <w:r w:rsidDel="00000000" w:rsidR="00000000" w:rsidRPr="00000000">
        <w:rPr>
          <w:b w:val="1"/>
          <w:color w:val="555555"/>
          <w:sz w:val="20"/>
          <w:szCs w:val="20"/>
          <w:rtl w:val="0"/>
        </w:rPr>
        <w:t xml:space="preserve">Requirements:</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ind w:left="1180" w:hanging="360"/>
      </w:pPr>
      <w:r w:rsidDel="00000000" w:rsidR="00000000" w:rsidRPr="00000000">
        <w:rPr>
          <w:color w:val="555555"/>
          <w:sz w:val="20"/>
          <w:szCs w:val="20"/>
          <w:rtl w:val="0"/>
        </w:rPr>
        <w:t xml:space="preserve">The following readings are required at Associate Level.</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ind w:left="1180" w:hanging="360"/>
      </w:pPr>
      <w:r w:rsidDel="00000000" w:rsidR="00000000" w:rsidRPr="00000000">
        <w:rPr>
          <w:color w:val="555555"/>
          <w:sz w:val="20"/>
          <w:szCs w:val="20"/>
          <w:rtl w:val="0"/>
        </w:rPr>
        <w:t xml:space="preserve">The required readings listed below may be supplemented at the discretion of the Fellow.</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ind w:left="1180" w:hanging="360"/>
      </w:pPr>
      <w:r w:rsidDel="00000000" w:rsidR="00000000" w:rsidRPr="00000000">
        <w:rPr>
          <w:color w:val="555555"/>
          <w:sz w:val="20"/>
          <w:szCs w:val="20"/>
          <w:rtl w:val="0"/>
        </w:rPr>
        <w:t xml:space="preserve">How the readings and reflections are documented are at the discretion of the Fellow.</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ind w:left="1180" w:hanging="360"/>
      </w:pPr>
      <w:r w:rsidDel="00000000" w:rsidR="00000000" w:rsidRPr="00000000">
        <w:rPr>
          <w:color w:val="555555"/>
          <w:sz w:val="20"/>
          <w:szCs w:val="20"/>
          <w:rtl w:val="0"/>
        </w:rPr>
        <w:t xml:space="preserve">For the Seminal Works, Fellows will assign selections from at least one of the Seminal Works to study in depth.</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spacing w:line="360" w:lineRule="auto"/>
        <w:rPr>
          <w:b w:val="1"/>
          <w:color w:val="555555"/>
          <w:sz w:val="20"/>
          <w:szCs w:val="20"/>
        </w:rPr>
      </w:pPr>
      <w:r w:rsidDel="00000000" w:rsidR="00000000" w:rsidRPr="00000000">
        <w:rPr>
          <w:color w:val="555555"/>
          <w:sz w:val="20"/>
          <w:szCs w:val="20"/>
          <w:rtl w:val="0"/>
        </w:rPr>
        <w:t xml:space="preserve">The Academy Board of Directors has granted a one-year period of transition for completion of all of the readings on the Associate Reading List Updated in May 2020. Readings are listed under specific categories. We suggest that a trainee’s Fellow evaluates the readings that have already been completed. Then, the Fellow can decide what readings on the updated list will be required. </w:t>
      </w:r>
      <w:r w:rsidDel="00000000" w:rsidR="00000000" w:rsidRPr="00000000">
        <w:rPr>
          <w:b w:val="1"/>
          <w:color w:val="555555"/>
          <w:sz w:val="20"/>
          <w:szCs w:val="20"/>
          <w:rtl w:val="0"/>
        </w:rPr>
        <w:t xml:space="preserve">The transition period to the new Associate Reading List ends on July 1st, 2021.</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spacing w:line="360" w:lineRule="auto"/>
        <w:rPr>
          <w:color w:val="555555"/>
          <w:sz w:val="20"/>
          <w:szCs w:val="20"/>
        </w:rPr>
      </w:pPr>
      <w:r w:rsidDel="00000000" w:rsidR="00000000" w:rsidRPr="00000000">
        <w:rPr>
          <w:color w:val="555555"/>
          <w:sz w:val="20"/>
          <w:szCs w:val="20"/>
          <w:rtl w:val="0"/>
        </w:rPr>
        <w:t xml:space="preserve"> </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spacing w:line="360" w:lineRule="auto"/>
        <w:rPr>
          <w:color w:val="555555"/>
          <w:sz w:val="20"/>
          <w:szCs w:val="20"/>
        </w:rPr>
      </w:pPr>
      <w:r w:rsidDel="00000000" w:rsidR="00000000" w:rsidRPr="00000000">
        <w:rPr>
          <w:color w:val="555555"/>
          <w:sz w:val="20"/>
          <w:szCs w:val="20"/>
          <w:rtl w:val="0"/>
        </w:rPr>
        <w:t xml:space="preserve">All publications used with permission.</w:t>
      </w:r>
    </w:p>
    <w:p w:rsidR="00000000" w:rsidDel="00000000" w:rsidP="00000000" w:rsidRDefault="00000000" w:rsidRPr="00000000" w14:paraId="0000000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3f8zn5azspbp" w:id="1"/>
      <w:bookmarkEnd w:id="1"/>
      <w:r w:rsidDel="00000000" w:rsidR="00000000" w:rsidRPr="00000000">
        <w:rPr>
          <w:b w:val="1"/>
          <w:color w:val="222222"/>
          <w:rtl w:val="0"/>
        </w:rPr>
        <w:t xml:space="preserve">SEMINAL WORKS</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(Selections are assigned by the Fellow.)</w:t>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line="360" w:lineRule="auto"/>
        <w:rPr>
          <w:color w:val="555555"/>
          <w:sz w:val="20"/>
          <w:szCs w:val="20"/>
        </w:rPr>
      </w:pPr>
      <w:r w:rsidDel="00000000" w:rsidR="00000000" w:rsidRPr="00000000">
        <w:rPr>
          <w:color w:val="555555"/>
          <w:sz w:val="20"/>
          <w:szCs w:val="20"/>
          <w:rtl w:val="0"/>
        </w:rPr>
        <w:t xml:space="preserve">The AOGPE seminal works reflect the foundational work of the founding Orton-Gillingham developers. The intent of these readings is to understand the historical background of the different regional strands of the Approach, their foundations, and their unique characteristics. Fellows will </w:t>
      </w:r>
      <w:r w:rsidDel="00000000" w:rsidR="00000000" w:rsidRPr="00000000">
        <w:rPr>
          <w:b w:val="1"/>
          <w:color w:val="555555"/>
          <w:sz w:val="20"/>
          <w:szCs w:val="20"/>
          <w:rtl w:val="0"/>
        </w:rPr>
        <w:t xml:space="preserve">assign selections from </w:t>
      </w:r>
      <w:r w:rsidDel="00000000" w:rsidR="00000000" w:rsidRPr="00000000">
        <w:rPr>
          <w:b w:val="1"/>
          <w:i w:val="1"/>
          <w:color w:val="555555"/>
          <w:sz w:val="20"/>
          <w:szCs w:val="20"/>
          <w:rtl w:val="0"/>
        </w:rPr>
        <w:t xml:space="preserve">at least one</w:t>
      </w:r>
      <w:r w:rsidDel="00000000" w:rsidR="00000000" w:rsidRPr="00000000">
        <w:rPr>
          <w:color w:val="555555"/>
          <w:sz w:val="20"/>
          <w:szCs w:val="20"/>
          <w:rtl w:val="0"/>
        </w:rPr>
        <w:t xml:space="preserve"> of the following Seminal Works to study in depth. Decisions regarding excerpts from the other works will be determined by the Training Fellow.</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hd w:fill="ffffff" w:val="clear"/>
        <w:ind w:left="1240" w:hanging="360"/>
      </w:pPr>
      <w:r w:rsidDel="00000000" w:rsidR="00000000" w:rsidRPr="00000000">
        <w:rPr>
          <w:color w:val="555555"/>
          <w:sz w:val="20"/>
          <w:szCs w:val="20"/>
          <w:rtl w:val="0"/>
        </w:rPr>
        <w:t xml:space="preserve">Gillingham, Anna, &amp; Stillman, Bessie. (1997). </w:t>
      </w:r>
      <w:r w:rsidDel="00000000" w:rsidR="00000000" w:rsidRPr="00000000">
        <w:rPr>
          <w:i w:val="1"/>
          <w:color w:val="555555"/>
          <w:sz w:val="20"/>
          <w:szCs w:val="20"/>
          <w:rtl w:val="0"/>
        </w:rPr>
        <w:t xml:space="preserve">The Gillingham Manual: Remedial Training for Children with Specific Disability in Reading, Spelling, and Penmanship</w:t>
      </w:r>
      <w:r w:rsidDel="00000000" w:rsidR="00000000" w:rsidRPr="00000000">
        <w:rPr>
          <w:color w:val="555555"/>
          <w:sz w:val="20"/>
          <w:szCs w:val="20"/>
          <w:rtl w:val="0"/>
        </w:rPr>
        <w:t xml:space="preserve"> (8</w:t>
      </w:r>
      <w:r w:rsidDel="00000000" w:rsidR="00000000" w:rsidRPr="00000000">
        <w:rPr>
          <w:color w:val="555555"/>
          <w:sz w:val="20"/>
          <w:szCs w:val="20"/>
          <w:vertAlign w:val="superscript"/>
          <w:rtl w:val="0"/>
        </w:rPr>
        <w:t xml:space="preserve">th</w:t>
      </w:r>
      <w:r w:rsidDel="00000000" w:rsidR="00000000" w:rsidRPr="00000000">
        <w:rPr>
          <w:color w:val="555555"/>
          <w:sz w:val="20"/>
          <w:szCs w:val="20"/>
          <w:rtl w:val="0"/>
        </w:rPr>
        <w:t xml:space="preserve"> ed.). Cambridge, MA: Educators Publishing Service. (ISBN-13: 978-0-8388-0200-7, other editions may be substituted.)</w:t>
        <w:br w:type="textWrapping"/>
        <w:t xml:space="preserve">***The Gillingham Manual will be provided at the start of the course. Specific chapters will be assigned as part of nightly homework during training week.</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hd w:fill="ffffff" w:val="clear"/>
        <w:ind w:left="1240" w:hanging="360"/>
      </w:pPr>
      <w:r w:rsidDel="00000000" w:rsidR="00000000" w:rsidRPr="00000000">
        <w:rPr>
          <w:color w:val="555555"/>
          <w:sz w:val="20"/>
          <w:szCs w:val="20"/>
          <w:rtl w:val="0"/>
        </w:rPr>
        <w:t xml:space="preserve">Orton, June Lyday. (1964). A Guide to Teaching Phonics. Cambridge, MA: Educators Publishing Service. (ISBN: 0-8388-0241-9)</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hd w:fill="ffffff" w:val="clear"/>
        <w:ind w:left="1240" w:hanging="360"/>
      </w:pPr>
      <w:r w:rsidDel="00000000" w:rsidR="00000000" w:rsidRPr="00000000">
        <w:rPr>
          <w:color w:val="555555"/>
          <w:sz w:val="20"/>
          <w:szCs w:val="20"/>
          <w:rtl w:val="0"/>
        </w:rPr>
        <w:t xml:space="preserve">Rome, Paula &amp; Osman, Jean. (1972). The Language Tool Kit. Cambridge, MA: Educators Publishing Service. (ISBN: 0-8388-0521-3)</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hd w:fill="ffffff" w:val="clear"/>
        <w:ind w:left="1240" w:hanging="360"/>
      </w:pPr>
      <w:r w:rsidDel="00000000" w:rsidR="00000000" w:rsidRPr="00000000">
        <w:rPr>
          <w:color w:val="555555"/>
          <w:sz w:val="20"/>
          <w:szCs w:val="20"/>
          <w:rtl w:val="0"/>
        </w:rPr>
        <w:t xml:space="preserve">Rome, Paula &amp; Osman, Jean. (1972). The Advanced Language Tool Kit: Teaching the Structure of the English Language. Cambridge, MA: Educators Publishing Service. (ISBN: 0-8388-0549-3)</w:t>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baydd3frui46" w:id="2"/>
      <w:bookmarkEnd w:id="2"/>
      <w:r w:rsidDel="00000000" w:rsidR="00000000" w:rsidRPr="00000000">
        <w:rPr>
          <w:b w:val="1"/>
          <w:color w:val="222222"/>
          <w:rtl w:val="0"/>
        </w:rPr>
        <w:t xml:space="preserve">UNDERSTANDING OF DYSLEXIA</w:t>
      </w:r>
    </w:p>
    <w:p w:rsidR="00000000" w:rsidDel="00000000" w:rsidP="00000000" w:rsidRDefault="00000000" w:rsidRPr="00000000" w14:paraId="00000018">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(All selections are required.)</w:t>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hd w:fill="ffffff" w:val="clear"/>
        <w:ind w:left="1240" w:hanging="360"/>
      </w:pPr>
      <w:hyperlink r:id="rId6">
        <w:r w:rsidDel="00000000" w:rsidR="00000000" w:rsidRPr="00000000">
          <w:rPr>
            <w:color w:val="0099cc"/>
            <w:sz w:val="20"/>
            <w:szCs w:val="20"/>
            <w:u w:val="single"/>
            <w:rtl w:val="0"/>
          </w:rPr>
          <w:t xml:space="preserve">The International Dyslexia Association. (2008). </w:t>
        </w:r>
      </w:hyperlink>
      <w:hyperlink r:id="rId7">
        <w:r w:rsidDel="00000000" w:rsidR="00000000" w:rsidRPr="00000000">
          <w:rPr>
            <w:i w:val="1"/>
            <w:color w:val="0099cc"/>
            <w:sz w:val="20"/>
            <w:szCs w:val="20"/>
            <w:u w:val="single"/>
            <w:rtl w:val="0"/>
          </w:rPr>
          <w:t xml:space="preserve">IDA Fact Sheet: Attention-Deficit/Hyperactivity Disorder (AD/HD) and Dyslexia.</w:t>
        </w:r>
      </w:hyperlink>
      <w:r w:rsidDel="00000000" w:rsidR="00000000" w:rsidRPr="00000000">
        <w:rPr>
          <w:rtl w:val="0"/>
        </w:rPr>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hd w:fill="ffffff" w:val="clear"/>
        <w:ind w:left="1240" w:hanging="360"/>
      </w:pPr>
      <w:hyperlink r:id="rId8">
        <w:r w:rsidDel="00000000" w:rsidR="00000000" w:rsidRPr="00000000">
          <w:rPr>
            <w:color w:val="0099cc"/>
            <w:sz w:val="20"/>
            <w:szCs w:val="20"/>
            <w:u w:val="single"/>
            <w:rtl w:val="0"/>
          </w:rPr>
          <w:t xml:space="preserve">Hudson R., High L., Al Otaiba S. Reading Rockets. (2007). </w:t>
        </w:r>
      </w:hyperlink>
      <w:hyperlink r:id="rId9">
        <w:r w:rsidDel="00000000" w:rsidR="00000000" w:rsidRPr="00000000">
          <w:rPr>
            <w:i w:val="1"/>
            <w:color w:val="0099cc"/>
            <w:sz w:val="20"/>
            <w:szCs w:val="20"/>
            <w:u w:val="single"/>
            <w:rtl w:val="0"/>
          </w:rPr>
          <w:t xml:space="preserve">Dyslexia and the Brain: What Does Current Research Tell Us?</w:t>
        </w:r>
      </w:hyperlink>
      <w:r w:rsidDel="00000000" w:rsidR="00000000" w:rsidRPr="00000000">
        <w:rPr>
          <w:rtl w:val="0"/>
        </w:rPr>
      </w:r>
    </w:p>
    <w:p w:rsidR="00000000" w:rsidDel="00000000" w:rsidP="00000000" w:rsidRDefault="00000000" w:rsidRPr="00000000" w14:paraId="0000001C">
      <w:pPr>
        <w:numPr>
          <w:ilvl w:val="0"/>
          <w:numId w:val="4"/>
        </w:numPr>
        <w:pBdr>
          <w:top w:color="auto" w:space="0" w:sz="0" w:val="none"/>
          <w:bottom w:color="auto" w:space="0" w:sz="0" w:val="none"/>
          <w:right w:color="auto" w:space="0" w:sz="0" w:val="none"/>
          <w:between w:color="auto" w:space="0" w:sz="0" w:val="none"/>
        </w:pBdr>
        <w:shd w:fill="ffffff" w:val="clear"/>
        <w:ind w:left="1240" w:hanging="360"/>
      </w:pPr>
      <w:hyperlink r:id="rId10">
        <w:r w:rsidDel="00000000" w:rsidR="00000000" w:rsidRPr="00000000">
          <w:rPr>
            <w:color w:val="0099cc"/>
            <w:sz w:val="20"/>
            <w:szCs w:val="20"/>
            <w:u w:val="single"/>
            <w:rtl w:val="0"/>
          </w:rPr>
          <w:t xml:space="preserve">The International Dyslexia Association. (2019). </w:t>
        </w:r>
      </w:hyperlink>
      <w:hyperlink r:id="rId11">
        <w:r w:rsidDel="00000000" w:rsidR="00000000" w:rsidRPr="00000000">
          <w:rPr>
            <w:i w:val="1"/>
            <w:color w:val="0099cc"/>
            <w:sz w:val="20"/>
            <w:szCs w:val="20"/>
            <w:u w:val="single"/>
            <w:rtl w:val="0"/>
          </w:rPr>
          <w:t xml:space="preserve">IDA Dyslexia Handbook: What Every Family Should Know.</w:t>
        </w:r>
      </w:hyperlink>
      <w:r w:rsidDel="00000000" w:rsidR="00000000" w:rsidRPr="00000000">
        <w:rPr>
          <w:rtl w:val="0"/>
        </w:rPr>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hd w:fill="ffffff" w:val="clear"/>
        <w:ind w:left="1240" w:hanging="360"/>
      </w:pPr>
      <w:hyperlink r:id="rId12">
        <w:r w:rsidDel="00000000" w:rsidR="00000000" w:rsidRPr="00000000">
          <w:rPr>
            <w:color w:val="0099cc"/>
            <w:sz w:val="20"/>
            <w:szCs w:val="20"/>
            <w:u w:val="single"/>
            <w:rtl w:val="0"/>
          </w:rPr>
          <w:t xml:space="preserve">The International Dyslexia Association. (2017). </w:t>
        </w:r>
      </w:hyperlink>
      <w:hyperlink r:id="rId13">
        <w:r w:rsidDel="00000000" w:rsidR="00000000" w:rsidRPr="00000000">
          <w:rPr>
            <w:i w:val="1"/>
            <w:color w:val="0099cc"/>
            <w:sz w:val="20"/>
            <w:szCs w:val="20"/>
            <w:u w:val="single"/>
            <w:rtl w:val="0"/>
          </w:rPr>
          <w:t xml:space="preserve">Dyslexia in the Classroom: What Every Teacher Needs to Know.</w:t>
        </w:r>
      </w:hyperlink>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jivlxr9vmpvf" w:id="3"/>
      <w:bookmarkEnd w:id="3"/>
      <w:r w:rsidDel="00000000" w:rsidR="00000000" w:rsidRPr="00000000">
        <w:rPr>
          <w:b w:val="1"/>
          <w:color w:val="222222"/>
          <w:rtl w:val="0"/>
        </w:rPr>
        <w:t xml:space="preserve">HISTORICAL PERSPECTIVES ON ORTON-GILLINGHAM</w:t>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(All selections are required.)</w:t>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shd w:fill="ffffff" w:val="clear"/>
        <w:ind w:left="1240" w:hanging="360"/>
      </w:pPr>
      <w:hyperlink r:id="rId14">
        <w:r w:rsidDel="00000000" w:rsidR="00000000" w:rsidRPr="00000000">
          <w:rPr>
            <w:color w:val="0099cc"/>
            <w:sz w:val="20"/>
            <w:szCs w:val="20"/>
            <w:u w:val="single"/>
            <w:rtl w:val="0"/>
          </w:rPr>
          <w:t xml:space="preserve">Academy of Orton-Gillingham Practitioners and Educators (2016). </w:t>
        </w:r>
      </w:hyperlink>
      <w:hyperlink r:id="rId15">
        <w:r w:rsidDel="00000000" w:rsidR="00000000" w:rsidRPr="00000000">
          <w:rPr>
            <w:i w:val="1"/>
            <w:color w:val="0099cc"/>
            <w:sz w:val="20"/>
            <w:szCs w:val="20"/>
            <w:u w:val="single"/>
            <w:rtl w:val="0"/>
          </w:rPr>
          <w:t xml:space="preserve">Academy of Orton-Gillingham Practitioners and Educators: Overview.</w:t>
        </w:r>
      </w:hyperlink>
      <w:hyperlink r:id="rId16">
        <w:r w:rsidDel="00000000" w:rsidR="00000000" w:rsidRPr="00000000">
          <w:rPr>
            <w:color w:val="0099cc"/>
            <w:sz w:val="20"/>
            <w:szCs w:val="20"/>
            <w:u w:val="single"/>
            <w:rtl w:val="0"/>
          </w:rPr>
          <w:t xml:space="preserve"> Amenia, NY: Author.</w:t>
        </w:r>
      </w:hyperlink>
      <w:r w:rsidDel="00000000" w:rsidR="00000000" w:rsidRPr="00000000">
        <w:rPr>
          <w:rtl w:val="0"/>
        </w:rPr>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hd w:fill="ffffff" w:val="clear"/>
        <w:ind w:left="1240" w:hanging="360"/>
      </w:pPr>
      <w:hyperlink r:id="rId17">
        <w:r w:rsidDel="00000000" w:rsidR="00000000" w:rsidRPr="00000000">
          <w:rPr>
            <w:color w:val="0099cc"/>
            <w:sz w:val="20"/>
            <w:szCs w:val="20"/>
            <w:u w:val="single"/>
            <w:rtl w:val="0"/>
          </w:rPr>
          <w:t xml:space="preserve">McClelland, J. (1989). Gillingham:  Contemporary After 76 Years. </w:t>
        </w:r>
      </w:hyperlink>
      <w:hyperlink r:id="rId18">
        <w:r w:rsidDel="00000000" w:rsidR="00000000" w:rsidRPr="00000000">
          <w:rPr>
            <w:i w:val="1"/>
            <w:color w:val="0099cc"/>
            <w:sz w:val="20"/>
            <w:szCs w:val="20"/>
            <w:u w:val="single"/>
            <w:rtl w:val="0"/>
          </w:rPr>
          <w:t xml:space="preserve">Annals of Dyslexia, 39, </w:t>
        </w:r>
      </w:hyperlink>
      <w:hyperlink r:id="rId19">
        <w:r w:rsidDel="00000000" w:rsidR="00000000" w:rsidRPr="00000000">
          <w:rPr>
            <w:color w:val="0099cc"/>
            <w:sz w:val="20"/>
            <w:szCs w:val="20"/>
            <w:u w:val="single"/>
            <w:rtl w:val="0"/>
          </w:rPr>
          <w:t xml:space="preserve">34-49.</w:t>
        </w:r>
      </w:hyperlink>
      <w:r w:rsidDel="00000000" w:rsidR="00000000" w:rsidRPr="00000000">
        <w:rPr>
          <w:rtl w:val="0"/>
        </w:rPr>
      </w:r>
    </w:p>
    <w:p w:rsidR="00000000" w:rsidDel="00000000" w:rsidP="00000000" w:rsidRDefault="00000000" w:rsidRPr="00000000" w14:paraId="00000024">
      <w:pPr>
        <w:numPr>
          <w:ilvl w:val="0"/>
          <w:numId w:val="7"/>
        </w:numPr>
        <w:pBdr>
          <w:top w:color="auto" w:space="0" w:sz="0" w:val="none"/>
          <w:bottom w:color="auto" w:space="0" w:sz="0" w:val="none"/>
          <w:right w:color="auto" w:space="0" w:sz="0" w:val="none"/>
          <w:between w:color="auto" w:space="0" w:sz="0" w:val="none"/>
        </w:pBdr>
        <w:shd w:fill="ffffff" w:val="clear"/>
        <w:ind w:left="1240" w:hanging="360"/>
      </w:pPr>
      <w:hyperlink r:id="rId20">
        <w:r w:rsidDel="00000000" w:rsidR="00000000" w:rsidRPr="00000000">
          <w:rPr>
            <w:color w:val="0099cc"/>
            <w:sz w:val="20"/>
            <w:szCs w:val="20"/>
            <w:u w:val="single"/>
            <w:rtl w:val="0"/>
          </w:rPr>
          <w:t xml:space="preserve">Sheffield, B. (1991). The Structured Flexibility of Orton-Gillingham. </w:t>
        </w:r>
      </w:hyperlink>
      <w:hyperlink r:id="rId21">
        <w:r w:rsidDel="00000000" w:rsidR="00000000" w:rsidRPr="00000000">
          <w:rPr>
            <w:i w:val="1"/>
            <w:color w:val="0099cc"/>
            <w:sz w:val="20"/>
            <w:szCs w:val="20"/>
            <w:u w:val="single"/>
            <w:rtl w:val="0"/>
          </w:rPr>
          <w:t xml:space="preserve">Annals of Dyslexia, 41, </w:t>
        </w:r>
      </w:hyperlink>
      <w:hyperlink r:id="rId22">
        <w:r w:rsidDel="00000000" w:rsidR="00000000" w:rsidRPr="00000000">
          <w:rPr>
            <w:color w:val="0099cc"/>
            <w:sz w:val="20"/>
            <w:szCs w:val="20"/>
            <w:u w:val="single"/>
            <w:rtl w:val="0"/>
          </w:rPr>
          <w:t xml:space="preserve">41-53.</w:t>
        </w:r>
      </w:hyperlink>
      <w:r w:rsidDel="00000000" w:rsidR="00000000" w:rsidRPr="00000000">
        <w:rPr>
          <w:rtl w:val="0"/>
        </w:rPr>
      </w:r>
    </w:p>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otw8cxtwbja5" w:id="4"/>
      <w:bookmarkEnd w:id="4"/>
      <w:r w:rsidDel="00000000" w:rsidR="00000000" w:rsidRPr="00000000">
        <w:rPr>
          <w:b w:val="1"/>
          <w:color w:val="222222"/>
          <w:rtl w:val="0"/>
        </w:rPr>
        <w:t xml:space="preserve">COMPONENTS OF EFFECTIVE READING INSTRUCTION</w:t>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color w:val="222222"/>
        </w:rPr>
      </w:pPr>
      <w:bookmarkStart w:colFirst="0" w:colLast="0" w:name="_otw8cxtwbja5" w:id="4"/>
      <w:bookmarkEnd w:id="4"/>
      <w:r w:rsidDel="00000000" w:rsidR="00000000" w:rsidRPr="00000000">
        <w:rPr>
          <w:color w:val="222222"/>
          <w:rtl w:val="0"/>
        </w:rPr>
        <w:t xml:space="preserve">PHONEMIC AWARENESS, PHONICS, FLUENCY, VOCABULARY, COMPREHENSION</w:t>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(All selections are required.)</w:t>
      </w:r>
    </w:p>
    <w:p w:rsidR="00000000" w:rsidDel="00000000" w:rsidP="00000000" w:rsidRDefault="00000000" w:rsidRPr="00000000" w14:paraId="000000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numPr>
          <w:ilvl w:val="0"/>
          <w:numId w:val="5"/>
        </w:numPr>
        <w:pBdr>
          <w:top w:color="auto" w:space="0" w:sz="0" w:val="none"/>
          <w:bottom w:color="auto" w:space="0" w:sz="0" w:val="none"/>
          <w:right w:color="auto" w:space="0" w:sz="0" w:val="none"/>
          <w:between w:color="auto" w:space="0" w:sz="0" w:val="none"/>
        </w:pBdr>
        <w:shd w:fill="ffffff" w:val="clear"/>
        <w:ind w:left="1240" w:hanging="360"/>
      </w:pPr>
      <w:hyperlink r:id="rId23">
        <w:r w:rsidDel="00000000" w:rsidR="00000000" w:rsidRPr="00000000">
          <w:rPr>
            <w:color w:val="0099cc"/>
            <w:sz w:val="20"/>
            <w:szCs w:val="20"/>
            <w:u w:val="single"/>
            <w:rtl w:val="0"/>
          </w:rPr>
          <w:t xml:space="preserve">Ashby, J, Farrall, M. The Brain Basis of Fluency Development: Implications for Assessment and Instruction. AOGPE Winter/Spring Newsletter 2020</w:t>
        </w:r>
      </w:hyperlink>
      <w:r w:rsidDel="00000000" w:rsidR="00000000" w:rsidRPr="00000000">
        <w:rPr>
          <w:rtl w:val="0"/>
        </w:rPr>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hd w:fill="ffffff" w:val="clear"/>
        <w:ind w:left="1240" w:hanging="360"/>
      </w:pPr>
      <w:hyperlink r:id="rId24">
        <w:r w:rsidDel="00000000" w:rsidR="00000000" w:rsidRPr="00000000">
          <w:rPr>
            <w:color w:val="0099cc"/>
            <w:sz w:val="20"/>
            <w:szCs w:val="20"/>
            <w:u w:val="single"/>
            <w:rtl w:val="0"/>
          </w:rPr>
          <w:t xml:space="preserve">Chall, J. (1983).  Chall’s Stages of Reading Development.</w:t>
        </w:r>
      </w:hyperlink>
      <w:r w:rsidDel="00000000" w:rsidR="00000000" w:rsidRPr="00000000">
        <w:rPr>
          <w:color w:val="555555"/>
          <w:sz w:val="20"/>
          <w:szCs w:val="20"/>
          <w:rtl w:val="0"/>
        </w:rPr>
        <w:t xml:space="preserve"> From: Chall, J. (1983). </w:t>
      </w:r>
      <w:r w:rsidDel="00000000" w:rsidR="00000000" w:rsidRPr="00000000">
        <w:rPr>
          <w:i w:val="1"/>
          <w:color w:val="555555"/>
          <w:sz w:val="20"/>
          <w:szCs w:val="20"/>
          <w:rtl w:val="0"/>
        </w:rPr>
        <w:t xml:space="preserve">Stages of Reading Development.</w:t>
      </w:r>
      <w:r w:rsidDel="00000000" w:rsidR="00000000" w:rsidRPr="00000000">
        <w:rPr>
          <w:color w:val="555555"/>
          <w:sz w:val="20"/>
          <w:szCs w:val="20"/>
          <w:rtl w:val="0"/>
        </w:rPr>
        <w:t xml:space="preserve"> N.Y.: McGraw-Hill Book Company.</w:t>
      </w:r>
    </w:p>
    <w:p w:rsidR="00000000" w:rsidDel="00000000" w:rsidP="00000000" w:rsidRDefault="00000000" w:rsidRPr="00000000" w14:paraId="0000002C">
      <w:pPr>
        <w:numPr>
          <w:ilvl w:val="0"/>
          <w:numId w:val="5"/>
        </w:numPr>
        <w:pBdr>
          <w:top w:color="auto" w:space="0" w:sz="0" w:val="none"/>
          <w:bottom w:color="auto" w:space="0" w:sz="0" w:val="none"/>
          <w:right w:color="auto" w:space="0" w:sz="0" w:val="none"/>
          <w:between w:color="auto" w:space="0" w:sz="0" w:val="none"/>
        </w:pBdr>
        <w:shd w:fill="ffffff" w:val="clear"/>
        <w:ind w:left="1240" w:hanging="360"/>
      </w:pPr>
      <w:hyperlink r:id="rId25">
        <w:r w:rsidDel="00000000" w:rsidR="00000000" w:rsidRPr="00000000">
          <w:rPr>
            <w:color w:val="0099cc"/>
            <w:sz w:val="20"/>
            <w:szCs w:val="20"/>
            <w:u w:val="single"/>
            <w:rtl w:val="0"/>
          </w:rPr>
          <w:t xml:space="preserve">Sheffield, B. (1991). The Structured Flexibility of Orton-Gillingham. </w:t>
        </w:r>
      </w:hyperlink>
      <w:hyperlink r:id="rId26">
        <w:r w:rsidDel="00000000" w:rsidR="00000000" w:rsidRPr="00000000">
          <w:rPr>
            <w:i w:val="1"/>
            <w:color w:val="0099cc"/>
            <w:sz w:val="20"/>
            <w:szCs w:val="20"/>
            <w:u w:val="single"/>
            <w:rtl w:val="0"/>
          </w:rPr>
          <w:t xml:space="preserve">Annals of Dyslexia, 41, </w:t>
        </w:r>
      </w:hyperlink>
      <w:hyperlink r:id="rId27">
        <w:r w:rsidDel="00000000" w:rsidR="00000000" w:rsidRPr="00000000">
          <w:rPr>
            <w:color w:val="0099cc"/>
            <w:sz w:val="20"/>
            <w:szCs w:val="20"/>
            <w:u w:val="single"/>
            <w:rtl w:val="0"/>
          </w:rPr>
          <w:t xml:space="preserve">41-53.</w:t>
        </w:r>
      </w:hyperlink>
      <w:r w:rsidDel="00000000" w:rsidR="00000000" w:rsidRPr="00000000">
        <w:rPr>
          <w:rtl w:val="0"/>
        </w:rPr>
      </w:r>
    </w:p>
    <w:p w:rsidR="00000000" w:rsidDel="00000000" w:rsidP="00000000" w:rsidRDefault="00000000" w:rsidRPr="00000000" w14:paraId="000000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6a2j58dl1r8x" w:id="5"/>
      <w:bookmarkEnd w:id="5"/>
      <w:r w:rsidDel="00000000" w:rsidR="00000000" w:rsidRPr="00000000">
        <w:rPr>
          <w:b w:val="1"/>
          <w:color w:val="222222"/>
          <w:rtl w:val="0"/>
        </w:rPr>
        <w:t xml:space="preserve">HANDWRITING</w:t>
      </w:r>
    </w:p>
    <w:p w:rsidR="00000000" w:rsidDel="00000000" w:rsidP="00000000" w:rsidRDefault="00000000" w:rsidRPr="00000000" w14:paraId="0000002F">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(All selections are required.)</w:t>
      </w:r>
    </w:p>
    <w:p w:rsidR="00000000" w:rsidDel="00000000" w:rsidP="00000000" w:rsidRDefault="00000000" w:rsidRPr="00000000" w14:paraId="0000003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numPr>
          <w:ilvl w:val="0"/>
          <w:numId w:val="6"/>
        </w:numPr>
        <w:pBdr>
          <w:top w:color="auto" w:space="0" w:sz="0" w:val="none"/>
          <w:bottom w:color="auto" w:space="0" w:sz="0" w:val="none"/>
          <w:right w:color="auto" w:space="0" w:sz="0" w:val="none"/>
          <w:between w:color="auto" w:space="0" w:sz="0" w:val="none"/>
        </w:pBdr>
        <w:shd w:fill="ffffff" w:val="clear"/>
        <w:ind w:left="1240" w:hanging="360"/>
      </w:pPr>
      <w:hyperlink r:id="rId28">
        <w:r w:rsidDel="00000000" w:rsidR="00000000" w:rsidRPr="00000000">
          <w:rPr>
            <w:color w:val="0099cc"/>
            <w:sz w:val="20"/>
            <w:szCs w:val="20"/>
            <w:u w:val="single"/>
            <w:rtl w:val="0"/>
          </w:rPr>
          <w:t xml:space="preserve">Berninger, V.W. (2012, May-June). Strengthening the Mind’s Eye: The Case for Continued Handwriting Instruction in the 21</w:t>
        </w:r>
      </w:hyperlink>
      <w:hyperlink r:id="rId29">
        <w:r w:rsidDel="00000000" w:rsidR="00000000" w:rsidRPr="00000000">
          <w:rPr>
            <w:color w:val="0099cc"/>
            <w:sz w:val="20"/>
            <w:szCs w:val="20"/>
            <w:u w:val="single"/>
            <w:vertAlign w:val="superscript"/>
            <w:rtl w:val="0"/>
          </w:rPr>
          <w:t xml:space="preserve">st</w:t>
        </w:r>
      </w:hyperlink>
      <w:hyperlink r:id="rId30">
        <w:r w:rsidDel="00000000" w:rsidR="00000000" w:rsidRPr="00000000">
          <w:rPr>
            <w:color w:val="0099cc"/>
            <w:sz w:val="20"/>
            <w:szCs w:val="20"/>
            <w:u w:val="single"/>
            <w:rtl w:val="0"/>
          </w:rPr>
          <w:t xml:space="preserve"> Century. </w:t>
        </w:r>
      </w:hyperlink>
      <w:hyperlink r:id="rId31">
        <w:r w:rsidDel="00000000" w:rsidR="00000000" w:rsidRPr="00000000">
          <w:rPr>
            <w:i w:val="1"/>
            <w:color w:val="0099cc"/>
            <w:sz w:val="20"/>
            <w:szCs w:val="20"/>
            <w:u w:val="single"/>
            <w:rtl w:val="0"/>
          </w:rPr>
          <w:t xml:space="preserve">Principal, 91(5)</w:t>
        </w:r>
      </w:hyperlink>
      <w:hyperlink r:id="rId32">
        <w:r w:rsidDel="00000000" w:rsidR="00000000" w:rsidRPr="00000000">
          <w:rPr>
            <w:color w:val="0099cc"/>
            <w:sz w:val="20"/>
            <w:szCs w:val="20"/>
            <w:u w:val="single"/>
            <w:rtl w:val="0"/>
          </w:rPr>
          <w:t xml:space="preserve">, 28-31. Reprinted with permission. Copyright 2012 National Association of Elementary School Principals. All rights reserved.</w:t>
        </w:r>
      </w:hyperlink>
      <w:r w:rsidDel="00000000" w:rsidR="00000000" w:rsidRPr="00000000">
        <w:rPr>
          <w:rtl w:val="0"/>
        </w:rPr>
      </w:r>
    </w:p>
    <w:p w:rsidR="00000000" w:rsidDel="00000000" w:rsidP="00000000" w:rsidRDefault="00000000" w:rsidRPr="00000000" w14:paraId="00000032">
      <w:pPr>
        <w:numPr>
          <w:ilvl w:val="0"/>
          <w:numId w:val="6"/>
        </w:numPr>
        <w:pBdr>
          <w:top w:color="auto" w:space="0" w:sz="0" w:val="none"/>
          <w:bottom w:color="auto" w:space="0" w:sz="0" w:val="none"/>
          <w:right w:color="auto" w:space="0" w:sz="0" w:val="none"/>
          <w:between w:color="auto" w:space="0" w:sz="0" w:val="none"/>
        </w:pBdr>
        <w:shd w:fill="ffffff" w:val="clear"/>
        <w:ind w:left="1240" w:hanging="360"/>
      </w:pPr>
      <w:hyperlink r:id="rId33">
        <w:r w:rsidDel="00000000" w:rsidR="00000000" w:rsidRPr="00000000">
          <w:rPr>
            <w:color w:val="0099cc"/>
            <w:sz w:val="20"/>
            <w:szCs w:val="20"/>
            <w:u w:val="single"/>
            <w:rtl w:val="0"/>
          </w:rPr>
          <w:t xml:space="preserve">King, D. H. (2015, April-May). Why Bother with Cursive? The Examiner. International Dyslexia Association.</w:t>
        </w:r>
      </w:hyperlink>
      <w:r w:rsidDel="00000000" w:rsidR="00000000" w:rsidRPr="00000000">
        <w:rPr>
          <w:rtl w:val="0"/>
        </w:rPr>
      </w:r>
    </w:p>
    <w:p w:rsidR="00000000" w:rsidDel="00000000" w:rsidP="00000000" w:rsidRDefault="00000000" w:rsidRPr="00000000" w14:paraId="00000033">
      <w:pPr>
        <w:numPr>
          <w:ilvl w:val="0"/>
          <w:numId w:val="6"/>
        </w:numPr>
        <w:pBdr>
          <w:top w:color="auto" w:space="0" w:sz="0" w:val="none"/>
          <w:bottom w:color="auto" w:space="0" w:sz="0" w:val="none"/>
          <w:right w:color="auto" w:space="0" w:sz="0" w:val="none"/>
          <w:between w:color="auto" w:space="0" w:sz="0" w:val="none"/>
        </w:pBdr>
        <w:shd w:fill="ffffff" w:val="clear"/>
        <w:ind w:left="1240" w:hanging="360"/>
      </w:pPr>
      <w:hyperlink r:id="rId34">
        <w:r w:rsidDel="00000000" w:rsidR="00000000" w:rsidRPr="00000000">
          <w:rPr>
            <w:color w:val="0099cc"/>
            <w:sz w:val="20"/>
            <w:szCs w:val="20"/>
            <w:u w:val="single"/>
            <w:rtl w:val="0"/>
          </w:rPr>
          <w:t xml:space="preserve">The International Dyslexia Association. (2012). </w:t>
        </w:r>
      </w:hyperlink>
      <w:hyperlink r:id="rId35">
        <w:r w:rsidDel="00000000" w:rsidR="00000000" w:rsidRPr="00000000">
          <w:rPr>
            <w:i w:val="1"/>
            <w:color w:val="0099cc"/>
            <w:sz w:val="20"/>
            <w:szCs w:val="20"/>
            <w:u w:val="single"/>
            <w:rtl w:val="0"/>
          </w:rPr>
          <w:t xml:space="preserve">IDA Fact Sheet: Understanding Dysgraphia.</w:t>
        </w:r>
      </w:hyperlink>
      <w:r w:rsidDel="00000000" w:rsidR="00000000" w:rsidRPr="00000000">
        <w:rPr>
          <w:rtl w:val="0"/>
        </w:rPr>
      </w:r>
    </w:p>
    <w:p w:rsidR="00000000" w:rsidDel="00000000" w:rsidP="00000000" w:rsidRDefault="00000000" w:rsidRPr="00000000" w14:paraId="000000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i74chghjktdk" w:id="6"/>
      <w:bookmarkEnd w:id="6"/>
      <w:r w:rsidDel="00000000" w:rsidR="00000000" w:rsidRPr="00000000">
        <w:rPr>
          <w:b w:val="1"/>
          <w:color w:val="222222"/>
          <w:rtl w:val="0"/>
        </w:rPr>
        <w:t xml:space="preserve">ASSESSMENT AND EVALUATION</w:t>
      </w:r>
    </w:p>
    <w:p w:rsidR="00000000" w:rsidDel="00000000" w:rsidP="00000000" w:rsidRDefault="00000000" w:rsidRPr="00000000" w14:paraId="00000036">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(Required.)</w:t>
      </w:r>
    </w:p>
    <w:p w:rsidR="00000000" w:rsidDel="00000000" w:rsidP="00000000" w:rsidRDefault="00000000" w:rsidRPr="00000000" w14:paraId="0000003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numPr>
          <w:ilvl w:val="0"/>
          <w:numId w:val="8"/>
        </w:numPr>
        <w:pBdr>
          <w:top w:color="auto" w:space="0" w:sz="0" w:val="none"/>
          <w:bottom w:color="auto" w:space="0" w:sz="0" w:val="none"/>
          <w:right w:color="auto" w:space="0" w:sz="0" w:val="none"/>
          <w:between w:color="auto" w:space="0" w:sz="0" w:val="none"/>
        </w:pBdr>
        <w:shd w:fill="ffffff" w:val="clear"/>
        <w:ind w:left="1240" w:hanging="360"/>
      </w:pPr>
      <w:hyperlink r:id="rId36">
        <w:r w:rsidDel="00000000" w:rsidR="00000000" w:rsidRPr="00000000">
          <w:rPr>
            <w:color w:val="0099cc"/>
            <w:sz w:val="20"/>
            <w:szCs w:val="20"/>
            <w:u w:val="single"/>
            <w:rtl w:val="0"/>
          </w:rPr>
          <w:t xml:space="preserve">The International Dyslexia Association. (2016). </w:t>
        </w:r>
      </w:hyperlink>
      <w:hyperlink r:id="rId37">
        <w:r w:rsidDel="00000000" w:rsidR="00000000" w:rsidRPr="00000000">
          <w:rPr>
            <w:i w:val="1"/>
            <w:color w:val="0099cc"/>
            <w:sz w:val="20"/>
            <w:szCs w:val="20"/>
            <w:u w:val="single"/>
            <w:rtl w:val="0"/>
          </w:rPr>
          <w:t xml:space="preserve">IDA Fact Sheet: Dyslexia Assessment: What It Is and How It Can Help.</w:t>
        </w:r>
      </w:hyperlink>
      <w:r w:rsidDel="00000000" w:rsidR="00000000" w:rsidRPr="00000000">
        <w:rPr>
          <w:rtl w:val="0"/>
        </w:rPr>
      </w:r>
    </w:p>
    <w:p w:rsidR="00000000" w:rsidDel="00000000" w:rsidP="00000000" w:rsidRDefault="00000000" w:rsidRPr="00000000" w14:paraId="0000003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jc w:val="center"/>
        <w:rPr>
          <w:b w:val="1"/>
          <w:color w:val="222222"/>
        </w:rPr>
      </w:pPr>
      <w:bookmarkStart w:colFirst="0" w:colLast="0" w:name="_ur2otew9j5y7" w:id="7"/>
      <w:bookmarkEnd w:id="7"/>
      <w:r w:rsidDel="00000000" w:rsidR="00000000" w:rsidRPr="00000000">
        <w:rPr>
          <w:b w:val="1"/>
          <w:color w:val="222222"/>
          <w:rtl w:val="0"/>
        </w:rPr>
        <w:t xml:space="preserve">HISTORY OF ENGLISH</w:t>
      </w:r>
    </w:p>
    <w:p w:rsidR="00000000" w:rsidDel="00000000" w:rsidP="00000000" w:rsidRDefault="00000000" w:rsidRPr="00000000" w14:paraId="0000003B">
      <w:pPr>
        <w:pBdr>
          <w:top w:color="auto" w:space="0" w:sz="0" w:val="none"/>
          <w:left w:color="auto" w:space="0" w:sz="0" w:val="none"/>
          <w:bottom w:color="auto" w:space="11" w:sz="0" w:val="none"/>
          <w:right w:color="auto" w:space="0" w:sz="0" w:val="none"/>
        </w:pBdr>
        <w:shd w:fill="ffffff" w:val="clear"/>
        <w:spacing w:line="360" w:lineRule="auto"/>
        <w:jc w:val="center"/>
        <w:rPr>
          <w:color w:val="555555"/>
          <w:sz w:val="20"/>
          <w:szCs w:val="20"/>
        </w:rPr>
      </w:pPr>
      <w:r w:rsidDel="00000000" w:rsidR="00000000" w:rsidRPr="00000000">
        <w:rPr>
          <w:color w:val="555555"/>
          <w:sz w:val="20"/>
          <w:szCs w:val="20"/>
          <w:rtl w:val="0"/>
        </w:rPr>
        <w:t xml:space="preserve">(Required.)</w:t>
      </w:r>
    </w:p>
    <w:p w:rsidR="00000000" w:rsidDel="00000000" w:rsidP="00000000" w:rsidRDefault="00000000" w:rsidRPr="00000000" w14:paraId="0000003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numPr>
          <w:ilvl w:val="0"/>
          <w:numId w:val="2"/>
        </w:numPr>
        <w:pBdr>
          <w:top w:color="auto" w:space="0" w:sz="0" w:val="none"/>
          <w:bottom w:color="auto" w:space="0" w:sz="0" w:val="none"/>
          <w:right w:color="auto" w:space="0" w:sz="0" w:val="none"/>
          <w:between w:color="auto" w:space="0" w:sz="0" w:val="none"/>
        </w:pBdr>
        <w:shd w:fill="ffffff" w:val="clear"/>
        <w:ind w:left="1240" w:hanging="360"/>
      </w:pPr>
      <w:hyperlink r:id="rId38">
        <w:r w:rsidDel="00000000" w:rsidR="00000000" w:rsidRPr="00000000">
          <w:rPr>
            <w:color w:val="0099cc"/>
            <w:sz w:val="20"/>
            <w:szCs w:val="20"/>
            <w:u w:val="single"/>
            <w:rtl w:val="0"/>
          </w:rPr>
          <w:t xml:space="preserve">Moats, L. (2005-2005, Winter).  How Spelling Supports Reading. </w:t>
        </w:r>
      </w:hyperlink>
      <w:hyperlink r:id="rId39">
        <w:r w:rsidDel="00000000" w:rsidR="00000000" w:rsidRPr="00000000">
          <w:rPr>
            <w:i w:val="1"/>
            <w:color w:val="0099cc"/>
            <w:sz w:val="20"/>
            <w:szCs w:val="20"/>
            <w:u w:val="single"/>
            <w:rtl w:val="0"/>
          </w:rPr>
          <w:t xml:space="preserve">American Educator,</w:t>
        </w:r>
      </w:hyperlink>
      <w:hyperlink r:id="rId40">
        <w:r w:rsidDel="00000000" w:rsidR="00000000" w:rsidRPr="00000000">
          <w:rPr>
            <w:color w:val="0099cc"/>
            <w:sz w:val="20"/>
            <w:szCs w:val="20"/>
            <w:u w:val="single"/>
            <w:rtl w:val="0"/>
          </w:rPr>
          <w:t xml:space="preserve"> 12-22 &amp; 42-43.</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theblossercenter.org/wp-content/uploads/2019/09/1_Moats_How-Spelling-Supports-Reading.pdf" TargetMode="External"/><Relationship Id="rId20" Type="http://schemas.openxmlformats.org/officeDocument/2006/relationships/hyperlink" Target="http://theblossercenter.org/wp-content/uploads/2019/09/3_Sheffield_Structured_Flexibility.pdf" TargetMode="External"/><Relationship Id="rId22" Type="http://schemas.openxmlformats.org/officeDocument/2006/relationships/hyperlink" Target="http://theblossercenter.org/wp-content/uploads/2019/09/3_Sheffield_Structured_Flexibility.pdf" TargetMode="External"/><Relationship Id="rId21" Type="http://schemas.openxmlformats.org/officeDocument/2006/relationships/hyperlink" Target="http://theblossercenter.org/wp-content/uploads/2019/09/3_Sheffield_Structured_Flexibility.pdf" TargetMode="External"/><Relationship Id="rId24" Type="http://schemas.openxmlformats.org/officeDocument/2006/relationships/hyperlink" Target="http://theblossercenter.org/wp-content/uploads/2019/09/2_Challs-Stages-of-Reading-Development.pdf" TargetMode="External"/><Relationship Id="rId23" Type="http://schemas.openxmlformats.org/officeDocument/2006/relationships/hyperlink" Target="http://theblossercenter.org/wp-content/uploads/2020/06/2_AshbyFarrall_Then%20Brain%20BasisF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blossercenter.org/wp-content/uploads/2020/06/2_Reading-Rockets_Dyslexia-and-the-Brain.pdf" TargetMode="External"/><Relationship Id="rId26" Type="http://schemas.openxmlformats.org/officeDocument/2006/relationships/hyperlink" Target="http://theblossercenter.org/wp-content/uploads/2019/09/3_Sheffield_Structured_Flexibility.pdf" TargetMode="External"/><Relationship Id="rId25" Type="http://schemas.openxmlformats.org/officeDocument/2006/relationships/hyperlink" Target="http://theblossercenter.org/wp-content/uploads/2019/09/3_Sheffield_Structured_Flexibility.pdf" TargetMode="External"/><Relationship Id="rId28" Type="http://schemas.openxmlformats.org/officeDocument/2006/relationships/hyperlink" Target="http://theblossercenter.org/wp-content/uploads/2019/09/1_Berninger_minds-eye-handwriting.pdf" TargetMode="External"/><Relationship Id="rId27" Type="http://schemas.openxmlformats.org/officeDocument/2006/relationships/hyperlink" Target="http://theblossercenter.org/wp-content/uploads/2019/09/3_Sheffield_Structured_Flexibility.pdf" TargetMode="External"/><Relationship Id="rId5" Type="http://schemas.openxmlformats.org/officeDocument/2006/relationships/styles" Target="styles.xml"/><Relationship Id="rId6" Type="http://schemas.openxmlformats.org/officeDocument/2006/relationships/hyperlink" Target="http://theblossercenter.org/wp-content/uploads/2019/09/1_ADHD-and-Dyslexia-IDA-Fact-Sheet-Final.pdf" TargetMode="External"/><Relationship Id="rId29" Type="http://schemas.openxmlformats.org/officeDocument/2006/relationships/hyperlink" Target="http://theblossercenter.org/wp-content/uploads/2019/09/1_Berninger_minds-eye-handwriting.pdf" TargetMode="External"/><Relationship Id="rId7" Type="http://schemas.openxmlformats.org/officeDocument/2006/relationships/hyperlink" Target="http://theblossercenter.org/wp-content/uploads/2019/09/1_ADHD-and-Dyslexia-IDA-Fact-Sheet-Final.pdf" TargetMode="External"/><Relationship Id="rId8" Type="http://schemas.openxmlformats.org/officeDocument/2006/relationships/hyperlink" Target="http://theblossercenter.org/wp-content/uploads/2020/06/2_Reading-Rockets_Dyslexia-and-the-Brain.pdf" TargetMode="External"/><Relationship Id="rId31" Type="http://schemas.openxmlformats.org/officeDocument/2006/relationships/hyperlink" Target="http://theblossercenter.org/wp-content/uploads/2019/09/1_Berninger_minds-eye-handwriting.pdf" TargetMode="External"/><Relationship Id="rId30" Type="http://schemas.openxmlformats.org/officeDocument/2006/relationships/hyperlink" Target="http://theblossercenter.org/wp-content/uploads/2019/09/1_Berninger_minds-eye-handwriting.pdf" TargetMode="External"/><Relationship Id="rId11" Type="http://schemas.openxmlformats.org/officeDocument/2006/relationships/hyperlink" Target="http://theblossercenter.org/wp-content/uploads/2020/06/3_IDA-Dyslexia-Handbook-What-Every-Family-Should-Know_5-28-19.pdf" TargetMode="External"/><Relationship Id="rId33" Type="http://schemas.openxmlformats.org/officeDocument/2006/relationships/hyperlink" Target="http://theblossercenter.org/wp-content/uploads/2020/06/2_King_Why-Bother-with-Cursive.pdf" TargetMode="External"/><Relationship Id="rId10" Type="http://schemas.openxmlformats.org/officeDocument/2006/relationships/hyperlink" Target="http://theblossercenter.org/wp-content/uploads/2020/06/3_IDA-Dyslexia-Handbook-What-Every-Family-Should-Know_5-28-19.pdf" TargetMode="External"/><Relationship Id="rId32" Type="http://schemas.openxmlformats.org/officeDocument/2006/relationships/hyperlink" Target="http://theblossercenter.org/wp-content/uploads/2019/09/1_Berninger_minds-eye-handwriting.pdf" TargetMode="External"/><Relationship Id="rId13" Type="http://schemas.openxmlformats.org/officeDocument/2006/relationships/hyperlink" Target="http://theblossercenter.org/wp-content/uploads/2020/06/4_Dyslexia-in-the-Classroom_2017.pdf" TargetMode="External"/><Relationship Id="rId35" Type="http://schemas.openxmlformats.org/officeDocument/2006/relationships/hyperlink" Target="http://theblossercenter.org/wp-content/uploads/2019/09/3_Understanding-Dysgraphia-IDA-Fact-Sheet-Final.pdf" TargetMode="External"/><Relationship Id="rId12" Type="http://schemas.openxmlformats.org/officeDocument/2006/relationships/hyperlink" Target="http://theblossercenter.org/wp-content/uploads/2020/06/4_Dyslexia-in-the-Classroom_2017.pdf" TargetMode="External"/><Relationship Id="rId34" Type="http://schemas.openxmlformats.org/officeDocument/2006/relationships/hyperlink" Target="http://theblossercenter.org/wp-content/uploads/2019/09/3_Understanding-Dysgraphia-IDA-Fact-Sheet-Final.pdf" TargetMode="External"/><Relationship Id="rId15" Type="http://schemas.openxmlformats.org/officeDocument/2006/relationships/hyperlink" Target="http://theblossercenter.org/wp-content/uploads/2019/09/1_AOGPE-Overview-5_9_16-FINAL.pdf" TargetMode="External"/><Relationship Id="rId37" Type="http://schemas.openxmlformats.org/officeDocument/2006/relationships/hyperlink" Target="http://theblossercenter.org/wp-content/uploads/2019/09/1_Assessment-IDA-fact-sheet-1-20-16-Final.pdf" TargetMode="External"/><Relationship Id="rId14" Type="http://schemas.openxmlformats.org/officeDocument/2006/relationships/hyperlink" Target="http://theblossercenter.org/wp-content/uploads/2019/09/1_AOGPE-Overview-5_9_16-FINAL.pdf" TargetMode="External"/><Relationship Id="rId36" Type="http://schemas.openxmlformats.org/officeDocument/2006/relationships/hyperlink" Target="http://theblossercenter.org/wp-content/uploads/2019/09/1_Assessment-IDA-fact-sheet-1-20-16-Final.pdf" TargetMode="External"/><Relationship Id="rId17" Type="http://schemas.openxmlformats.org/officeDocument/2006/relationships/hyperlink" Target="http://theblossercenter.org/wp-content/uploads/2019/09/2_McClelland-1989-copy.pdf" TargetMode="External"/><Relationship Id="rId39" Type="http://schemas.openxmlformats.org/officeDocument/2006/relationships/hyperlink" Target="http://theblossercenter.org/wp-content/uploads/2019/09/1_Moats_How-Spelling-Supports-Reading.pdf" TargetMode="External"/><Relationship Id="rId16" Type="http://schemas.openxmlformats.org/officeDocument/2006/relationships/hyperlink" Target="http://theblossercenter.org/wp-content/uploads/2019/09/1_AOGPE-Overview-5_9_16-FINAL.pdf" TargetMode="External"/><Relationship Id="rId38" Type="http://schemas.openxmlformats.org/officeDocument/2006/relationships/hyperlink" Target="http://theblossercenter.org/wp-content/uploads/2019/09/1_Moats_How-Spelling-Supports-Reading.pdf" TargetMode="External"/><Relationship Id="rId19" Type="http://schemas.openxmlformats.org/officeDocument/2006/relationships/hyperlink" Target="http://theblossercenter.org/wp-content/uploads/2019/09/2_McClelland-1989-copy.pdf" TargetMode="External"/><Relationship Id="rId18" Type="http://schemas.openxmlformats.org/officeDocument/2006/relationships/hyperlink" Target="http://theblossercenter.org/wp-content/uploads/2019/09/2_McClelland-1989-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